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45579A" w14:textId="77777777" w:rsidR="002C48CD" w:rsidRPr="009B6F59" w:rsidRDefault="002C48CD" w:rsidP="00573C6D">
      <w:pPr>
        <w:jc w:val="center"/>
        <w:rPr>
          <w:b/>
          <w:bCs/>
          <w:sz w:val="28"/>
          <w:szCs w:val="28"/>
        </w:rPr>
      </w:pPr>
      <w:r w:rsidRPr="20C49FA5">
        <w:rPr>
          <w:b/>
          <w:bCs/>
          <w:sz w:val="28"/>
          <w:szCs w:val="28"/>
        </w:rPr>
        <w:t>Procédure</w:t>
      </w:r>
      <w:r w:rsidR="00573C6D">
        <w:rPr>
          <w:b/>
          <w:bCs/>
          <w:sz w:val="28"/>
          <w:szCs w:val="28"/>
        </w:rPr>
        <w:t xml:space="preserve"> de conservation, de destruction et d’anonymisation des renseignements personnels</w:t>
      </w:r>
    </w:p>
    <w:p w14:paraId="4F3E71B5" w14:textId="77777777" w:rsidR="002C48CD" w:rsidRPr="00B170A2" w:rsidRDefault="002C48CD" w:rsidP="002C48CD">
      <w:pPr>
        <w:jc w:val="both"/>
        <w:rPr>
          <w:b/>
          <w:bCs/>
          <w:i/>
          <w:iCs/>
          <w:sz w:val="24"/>
          <w:szCs w:val="24"/>
        </w:rPr>
      </w:pPr>
      <w:r w:rsidRPr="20C49FA5">
        <w:rPr>
          <w:b/>
          <w:bCs/>
          <w:i/>
          <w:iCs/>
          <w:sz w:val="24"/>
          <w:szCs w:val="24"/>
        </w:rPr>
        <w:t xml:space="preserve">Durée de conservation </w:t>
      </w:r>
    </w:p>
    <w:p w14:paraId="299D0087" w14:textId="77777777" w:rsidR="002C48CD" w:rsidRDefault="002C48CD" w:rsidP="002C48CD">
      <w:pPr>
        <w:jc w:val="both"/>
        <w:rPr>
          <w:sz w:val="24"/>
          <w:szCs w:val="24"/>
        </w:rPr>
      </w:pPr>
      <w:r w:rsidRPr="20C49FA5">
        <w:rPr>
          <w:sz w:val="24"/>
          <w:szCs w:val="24"/>
        </w:rPr>
        <w:t xml:space="preserve">Les renseignements personnels ont été catégorisés de la façon suivante : </w:t>
      </w:r>
    </w:p>
    <w:p w14:paraId="0729F15F" w14:textId="77777777" w:rsidR="002C48CD" w:rsidRDefault="002C48CD" w:rsidP="002C48CD">
      <w:pPr>
        <w:jc w:val="both"/>
        <w:rPr>
          <w:sz w:val="24"/>
          <w:szCs w:val="24"/>
        </w:rPr>
      </w:pPr>
      <w:r w:rsidRPr="20C49FA5">
        <w:rPr>
          <w:sz w:val="24"/>
          <w:szCs w:val="24"/>
        </w:rPr>
        <w:t>- renseignements concernant les employés de l’entreprise,</w:t>
      </w:r>
    </w:p>
    <w:p w14:paraId="6F1D7112" w14:textId="77777777" w:rsidR="002C48CD" w:rsidRDefault="002C48CD" w:rsidP="002C48CD">
      <w:pPr>
        <w:jc w:val="both"/>
        <w:rPr>
          <w:sz w:val="24"/>
          <w:szCs w:val="24"/>
        </w:rPr>
      </w:pPr>
      <w:r w:rsidRPr="20C49FA5">
        <w:rPr>
          <w:sz w:val="24"/>
          <w:szCs w:val="24"/>
        </w:rPr>
        <w:t>- renseignements concernant les membres du conseil d’administration,</w:t>
      </w:r>
    </w:p>
    <w:p w14:paraId="5787BC25" w14:textId="77777777" w:rsidR="002C48CD" w:rsidRDefault="002C48CD" w:rsidP="002C48CD">
      <w:pPr>
        <w:jc w:val="both"/>
        <w:rPr>
          <w:sz w:val="24"/>
          <w:szCs w:val="24"/>
        </w:rPr>
      </w:pPr>
      <w:r w:rsidRPr="20C49FA5">
        <w:rPr>
          <w:sz w:val="24"/>
          <w:szCs w:val="24"/>
        </w:rPr>
        <w:t>- renseignements concernant les membres de l’organisation,</w:t>
      </w:r>
    </w:p>
    <w:p w14:paraId="0D49B3FB" w14:textId="77777777" w:rsidR="00573C6D" w:rsidRDefault="00573C6D" w:rsidP="002C48CD">
      <w:pPr>
        <w:jc w:val="both"/>
        <w:rPr>
          <w:sz w:val="24"/>
          <w:szCs w:val="24"/>
          <w:highlight w:val="yellow"/>
        </w:rPr>
      </w:pPr>
    </w:p>
    <w:p w14:paraId="5F8A642C" w14:textId="77777777" w:rsidR="002C48CD" w:rsidRDefault="002C48CD" w:rsidP="002C48CD">
      <w:pPr>
        <w:jc w:val="both"/>
        <w:rPr>
          <w:sz w:val="24"/>
          <w:szCs w:val="24"/>
        </w:rPr>
      </w:pPr>
      <w:r w:rsidRPr="00AF2C4C">
        <w:rPr>
          <w:sz w:val="24"/>
          <w:szCs w:val="24"/>
          <w:highlight w:val="yellow"/>
        </w:rPr>
        <w:t>La durée de conservation pour chacune de ces catégories a été établi</w:t>
      </w:r>
      <w:r w:rsidR="00AA60AE">
        <w:rPr>
          <w:sz w:val="24"/>
          <w:szCs w:val="24"/>
          <w:highlight w:val="yellow"/>
        </w:rPr>
        <w:t>e</w:t>
      </w:r>
      <w:r w:rsidRPr="00AF2C4C">
        <w:rPr>
          <w:sz w:val="24"/>
          <w:szCs w:val="24"/>
          <w:highlight w:val="yellow"/>
        </w:rPr>
        <w:t xml:space="preserve"> de la façon suivante</w:t>
      </w:r>
      <w:r w:rsidRPr="20C49FA5">
        <w:rPr>
          <w:sz w:val="24"/>
          <w:szCs w:val="24"/>
        </w:rPr>
        <w:t> :</w:t>
      </w:r>
    </w:p>
    <w:p w14:paraId="5B31CA78" w14:textId="77777777" w:rsidR="002C48CD" w:rsidRDefault="002C48CD" w:rsidP="002C48CD">
      <w:pPr>
        <w:pStyle w:val="Paragraphedeliste"/>
        <w:numPr>
          <w:ilvl w:val="0"/>
          <w:numId w:val="1"/>
        </w:numPr>
        <w:jc w:val="both"/>
        <w:rPr>
          <w:sz w:val="24"/>
          <w:szCs w:val="24"/>
        </w:rPr>
      </w:pPr>
      <w:r w:rsidRPr="20C49FA5">
        <w:rPr>
          <w:sz w:val="24"/>
          <w:szCs w:val="24"/>
        </w:rPr>
        <w:t>Employés de l’entreprise : 7 ans après la fin d'emploi.</w:t>
      </w:r>
    </w:p>
    <w:p w14:paraId="2031394F" w14:textId="77777777" w:rsidR="002C48CD" w:rsidRDefault="002C48CD" w:rsidP="002C48CD">
      <w:pPr>
        <w:pStyle w:val="Paragraphedeliste"/>
        <w:numPr>
          <w:ilvl w:val="0"/>
          <w:numId w:val="1"/>
        </w:numPr>
        <w:jc w:val="both"/>
        <w:rPr>
          <w:sz w:val="24"/>
          <w:szCs w:val="24"/>
        </w:rPr>
      </w:pPr>
      <w:r w:rsidRPr="20C49FA5">
        <w:rPr>
          <w:sz w:val="24"/>
          <w:szCs w:val="24"/>
        </w:rPr>
        <w:t>Membres du C.</w:t>
      </w:r>
      <w:r w:rsidR="00AA60AE">
        <w:rPr>
          <w:sz w:val="24"/>
          <w:szCs w:val="24"/>
        </w:rPr>
        <w:t xml:space="preserve"> </w:t>
      </w:r>
      <w:r w:rsidRPr="20C49FA5">
        <w:rPr>
          <w:sz w:val="24"/>
          <w:szCs w:val="24"/>
        </w:rPr>
        <w:t>A. : 7 ans après la fin du mandat.</w:t>
      </w:r>
    </w:p>
    <w:p w14:paraId="1B704BC4" w14:textId="77777777" w:rsidR="002C48CD" w:rsidRDefault="002C48CD" w:rsidP="002C48CD">
      <w:pPr>
        <w:pStyle w:val="Paragraphedeliste"/>
        <w:numPr>
          <w:ilvl w:val="0"/>
          <w:numId w:val="1"/>
        </w:numPr>
        <w:jc w:val="both"/>
        <w:rPr>
          <w:sz w:val="24"/>
          <w:szCs w:val="24"/>
        </w:rPr>
      </w:pPr>
      <w:r w:rsidRPr="20C49FA5">
        <w:rPr>
          <w:sz w:val="24"/>
          <w:szCs w:val="24"/>
        </w:rPr>
        <w:t>Membres : variable en fonction du type de renseignement personnel.</w:t>
      </w:r>
    </w:p>
    <w:p w14:paraId="3E175D4B" w14:textId="77777777" w:rsidR="00573C6D" w:rsidRDefault="00573C6D" w:rsidP="002C48CD">
      <w:pPr>
        <w:jc w:val="both"/>
        <w:rPr>
          <w:sz w:val="24"/>
          <w:szCs w:val="24"/>
        </w:rPr>
      </w:pPr>
    </w:p>
    <w:p w14:paraId="2162DDD7" w14:textId="77777777" w:rsidR="002C48CD" w:rsidRPr="00CF2440" w:rsidRDefault="002C48CD" w:rsidP="002C48CD">
      <w:pPr>
        <w:jc w:val="both"/>
        <w:rPr>
          <w:sz w:val="24"/>
          <w:szCs w:val="24"/>
        </w:rPr>
      </w:pPr>
      <w:r w:rsidRPr="20C49FA5">
        <w:rPr>
          <w:sz w:val="24"/>
          <w:szCs w:val="24"/>
        </w:rPr>
        <w:t>Pour plus de détails, se référer à l’inventaire complet des renseignements personnels détenus.</w:t>
      </w:r>
      <w:r>
        <w:rPr>
          <w:sz w:val="24"/>
          <w:szCs w:val="24"/>
        </w:rPr>
        <w:t xml:space="preserve"> </w:t>
      </w:r>
      <w:hyperlink r:id="rId7" w:history="1">
        <w:r w:rsidRPr="009D400D">
          <w:rPr>
            <w:rStyle w:val="Lienhypertexte"/>
            <w:sz w:val="24"/>
            <w:szCs w:val="24"/>
          </w:rPr>
          <w:t>https://www.cai.gouv.qc.ca/entreprises/</w:t>
        </w:r>
      </w:hyperlink>
    </w:p>
    <w:p w14:paraId="68E5418B" w14:textId="77777777" w:rsidR="002C48CD" w:rsidRDefault="002C48CD" w:rsidP="002C48CD">
      <w:pPr>
        <w:jc w:val="both"/>
        <w:rPr>
          <w:i/>
          <w:iCs/>
          <w:sz w:val="24"/>
          <w:szCs w:val="24"/>
        </w:rPr>
      </w:pPr>
      <w:r w:rsidRPr="20C49FA5">
        <w:rPr>
          <w:i/>
          <w:iCs/>
          <w:sz w:val="24"/>
          <w:szCs w:val="24"/>
        </w:rPr>
        <w:t>Attention des délais de conservation spécifiques peuvent s’appliquer.</w:t>
      </w:r>
    </w:p>
    <w:p w14:paraId="3E10536E" w14:textId="77777777" w:rsidR="002C48CD" w:rsidRDefault="002C48CD" w:rsidP="002C48CD">
      <w:pPr>
        <w:jc w:val="both"/>
        <w:rPr>
          <w:i/>
          <w:iCs/>
          <w:sz w:val="24"/>
          <w:szCs w:val="24"/>
        </w:rPr>
      </w:pPr>
    </w:p>
    <w:p w14:paraId="135D65F3" w14:textId="77777777" w:rsidR="002C48CD" w:rsidRPr="00B170A2" w:rsidRDefault="002C48CD" w:rsidP="002C48CD">
      <w:pPr>
        <w:jc w:val="both"/>
        <w:rPr>
          <w:b/>
          <w:bCs/>
          <w:i/>
          <w:iCs/>
          <w:sz w:val="24"/>
          <w:szCs w:val="24"/>
        </w:rPr>
      </w:pPr>
      <w:r w:rsidRPr="20C49FA5">
        <w:rPr>
          <w:b/>
          <w:bCs/>
          <w:i/>
          <w:iCs/>
          <w:sz w:val="24"/>
          <w:szCs w:val="24"/>
        </w:rPr>
        <w:t xml:space="preserve">Méthodes de stockage sécurisé </w:t>
      </w:r>
    </w:p>
    <w:p w14:paraId="011CDD98" w14:textId="77777777" w:rsidR="002C48CD" w:rsidRDefault="002C48CD" w:rsidP="002C48CD">
      <w:pPr>
        <w:jc w:val="both"/>
        <w:rPr>
          <w:sz w:val="24"/>
          <w:szCs w:val="24"/>
        </w:rPr>
      </w:pPr>
      <w:r w:rsidRPr="20C49FA5">
        <w:rPr>
          <w:sz w:val="24"/>
          <w:szCs w:val="24"/>
        </w:rPr>
        <w:t xml:space="preserve">Les renseignements personnels se trouvent aux endroits suivants : </w:t>
      </w:r>
      <w:r w:rsidRPr="20C49FA5">
        <w:rPr>
          <w:i/>
          <w:iCs/>
          <w:sz w:val="24"/>
          <w:szCs w:val="24"/>
          <w:highlight w:val="yellow"/>
        </w:rPr>
        <w:t>compléter</w:t>
      </w:r>
      <w:r w:rsidRPr="20C49FA5">
        <w:rPr>
          <w:sz w:val="24"/>
          <w:szCs w:val="24"/>
        </w:rPr>
        <w:t>.</w:t>
      </w:r>
    </w:p>
    <w:p w14:paraId="4B6DBA2E" w14:textId="77777777" w:rsidR="002C48CD" w:rsidRDefault="002C48CD" w:rsidP="002C48CD">
      <w:pPr>
        <w:jc w:val="both"/>
        <w:rPr>
          <w:sz w:val="24"/>
          <w:szCs w:val="24"/>
        </w:rPr>
      </w:pPr>
      <w:r w:rsidRPr="20C49FA5">
        <w:rPr>
          <w:sz w:val="24"/>
          <w:szCs w:val="24"/>
        </w:rPr>
        <w:t>Le degré de sensibilité de chacun de ces lieux de stockage a été établi.</w:t>
      </w:r>
    </w:p>
    <w:p w14:paraId="4B8C45C3" w14:textId="77777777" w:rsidR="002C48CD" w:rsidRDefault="002C48CD" w:rsidP="002C48CD">
      <w:pPr>
        <w:jc w:val="both"/>
        <w:rPr>
          <w:sz w:val="24"/>
          <w:szCs w:val="24"/>
        </w:rPr>
      </w:pPr>
      <w:r w:rsidRPr="20C49FA5">
        <w:rPr>
          <w:sz w:val="24"/>
          <w:szCs w:val="24"/>
        </w:rPr>
        <w:t>Ces lieux de stockage, qu’ils soient papier ou numérique, sont adéquatement sécurisés.</w:t>
      </w:r>
    </w:p>
    <w:p w14:paraId="5F5D20FB" w14:textId="77777777" w:rsidR="002C48CD" w:rsidRDefault="002C48CD" w:rsidP="002C48CD">
      <w:pPr>
        <w:rPr>
          <w:sz w:val="24"/>
          <w:szCs w:val="24"/>
        </w:rPr>
      </w:pPr>
      <w:r>
        <w:rPr>
          <w:sz w:val="24"/>
          <w:szCs w:val="24"/>
        </w:rPr>
        <w:t>L’accès à ces lieux de stockage a été restreint aux seules personnes autorisées.</w:t>
      </w:r>
    </w:p>
    <w:p w14:paraId="12C7208B" w14:textId="77777777" w:rsidR="002C48CD" w:rsidRDefault="002C48CD" w:rsidP="002C48CD">
      <w:pPr>
        <w:rPr>
          <w:sz w:val="24"/>
          <w:szCs w:val="24"/>
        </w:rPr>
      </w:pPr>
    </w:p>
    <w:p w14:paraId="7C38226C" w14:textId="77777777" w:rsidR="002C48CD" w:rsidRPr="00B170A2" w:rsidRDefault="002C48CD" w:rsidP="002C48CD">
      <w:pPr>
        <w:jc w:val="both"/>
        <w:rPr>
          <w:b/>
          <w:bCs/>
          <w:i/>
          <w:iCs/>
          <w:sz w:val="24"/>
          <w:szCs w:val="24"/>
        </w:rPr>
      </w:pPr>
      <w:r w:rsidRPr="20C49FA5">
        <w:rPr>
          <w:b/>
          <w:bCs/>
          <w:i/>
          <w:iCs/>
          <w:sz w:val="24"/>
          <w:szCs w:val="24"/>
        </w:rPr>
        <w:t xml:space="preserve">4.3 Destruction des renseignements personnels </w:t>
      </w:r>
    </w:p>
    <w:p w14:paraId="108D96B4" w14:textId="77777777" w:rsidR="002C48CD" w:rsidRDefault="00573C6D" w:rsidP="002C48CD">
      <w:pPr>
        <w:jc w:val="both"/>
        <w:rPr>
          <w:sz w:val="24"/>
          <w:szCs w:val="24"/>
        </w:rPr>
      </w:pPr>
      <w:r>
        <w:rPr>
          <w:sz w:val="24"/>
          <w:szCs w:val="24"/>
        </w:rPr>
        <w:t>L</w:t>
      </w:r>
      <w:r w:rsidR="002C48CD" w:rsidRPr="20C49FA5">
        <w:rPr>
          <w:sz w:val="24"/>
          <w:szCs w:val="24"/>
        </w:rPr>
        <w:t>es renseignem</w:t>
      </w:r>
      <w:r>
        <w:rPr>
          <w:sz w:val="24"/>
          <w:szCs w:val="24"/>
        </w:rPr>
        <w:t>ents personnels sur papier seront</w:t>
      </w:r>
      <w:r w:rsidR="002C48CD" w:rsidRPr="20C49FA5">
        <w:rPr>
          <w:sz w:val="24"/>
          <w:szCs w:val="24"/>
        </w:rPr>
        <w:t xml:space="preserve"> totalement déchiquetés.</w:t>
      </w:r>
    </w:p>
    <w:p w14:paraId="22DB2879" w14:textId="77777777" w:rsidR="002C48CD" w:rsidRDefault="00573C6D" w:rsidP="002C48CD">
      <w:pPr>
        <w:jc w:val="both"/>
        <w:rPr>
          <w:sz w:val="24"/>
          <w:szCs w:val="24"/>
        </w:rPr>
      </w:pPr>
      <w:r>
        <w:rPr>
          <w:sz w:val="24"/>
          <w:szCs w:val="24"/>
        </w:rPr>
        <w:t>L</w:t>
      </w:r>
      <w:r w:rsidR="002C48CD" w:rsidRPr="20C49FA5">
        <w:rPr>
          <w:sz w:val="24"/>
          <w:szCs w:val="24"/>
        </w:rPr>
        <w:t xml:space="preserve">es renseignements personnels numériques </w:t>
      </w:r>
      <w:r>
        <w:rPr>
          <w:sz w:val="24"/>
          <w:szCs w:val="24"/>
        </w:rPr>
        <w:t>seront</w:t>
      </w:r>
      <w:r w:rsidR="002C48CD" w:rsidRPr="20C49FA5">
        <w:rPr>
          <w:sz w:val="24"/>
          <w:szCs w:val="24"/>
        </w:rPr>
        <w:t xml:space="preserve"> totalement supprimés des appareils (ordinateurs, téléphone, tablette, disque dur externe), des serveurs et des outils infonuagiques.</w:t>
      </w:r>
    </w:p>
    <w:p w14:paraId="4CAC5C75" w14:textId="77777777" w:rsidR="002C48CD" w:rsidRDefault="002C48CD" w:rsidP="002C48CD">
      <w:pPr>
        <w:jc w:val="both"/>
        <w:rPr>
          <w:sz w:val="24"/>
          <w:szCs w:val="24"/>
        </w:rPr>
      </w:pPr>
      <w:r w:rsidRPr="20C49FA5">
        <w:rPr>
          <w:sz w:val="24"/>
          <w:szCs w:val="24"/>
        </w:rPr>
        <w:lastRenderedPageBreak/>
        <w:t xml:space="preserve">Le calendrier de destruction en fonction de la durée de conservation établie pour chaque catégorie de renseignements personnels devra être fait. </w:t>
      </w:r>
      <w:r w:rsidRPr="009D400D">
        <w:rPr>
          <w:sz w:val="24"/>
          <w:szCs w:val="24"/>
          <w:highlight w:val="yellow"/>
        </w:rPr>
        <w:t>Il est impératif de documenter les dates de destruction prévues.</w:t>
      </w:r>
    </w:p>
    <w:p w14:paraId="0B63DEAE" w14:textId="77777777" w:rsidR="002C48CD" w:rsidRDefault="002C48CD" w:rsidP="002C48CD">
      <w:pPr>
        <w:jc w:val="both"/>
        <w:rPr>
          <w:sz w:val="24"/>
          <w:szCs w:val="24"/>
        </w:rPr>
      </w:pPr>
      <w:r w:rsidRPr="20C49FA5">
        <w:rPr>
          <w:sz w:val="24"/>
          <w:szCs w:val="24"/>
        </w:rPr>
        <w:t>Il faudra s’assurer que la destruction est réalisée de manière à ce que les renseignements personnels ne puissent pas être récupérés ou reconstitués.</w:t>
      </w:r>
    </w:p>
    <w:p w14:paraId="11627B73" w14:textId="77777777" w:rsidR="002C48CD" w:rsidRDefault="002C48CD" w:rsidP="002C48CD">
      <w:pPr>
        <w:rPr>
          <w:sz w:val="24"/>
          <w:szCs w:val="24"/>
        </w:rPr>
      </w:pPr>
    </w:p>
    <w:p w14:paraId="0A26B423" w14:textId="77777777" w:rsidR="002C48CD" w:rsidRPr="00B170A2" w:rsidRDefault="002C48CD" w:rsidP="002C48CD">
      <w:pPr>
        <w:jc w:val="both"/>
        <w:rPr>
          <w:b/>
          <w:bCs/>
          <w:i/>
          <w:iCs/>
          <w:sz w:val="24"/>
          <w:szCs w:val="24"/>
        </w:rPr>
      </w:pPr>
      <w:r w:rsidRPr="20C49FA5">
        <w:rPr>
          <w:b/>
          <w:bCs/>
          <w:i/>
          <w:iCs/>
          <w:sz w:val="24"/>
          <w:szCs w:val="24"/>
        </w:rPr>
        <w:t xml:space="preserve">Anonymisation des renseignements personnels </w:t>
      </w:r>
    </w:p>
    <w:p w14:paraId="09D94F87" w14:textId="77777777" w:rsidR="002C48CD" w:rsidRDefault="002C48CD" w:rsidP="002C48CD">
      <w:pPr>
        <w:jc w:val="both"/>
        <w:rPr>
          <w:sz w:val="24"/>
          <w:szCs w:val="24"/>
        </w:rPr>
      </w:pPr>
      <w:r w:rsidRPr="20C49FA5">
        <w:rPr>
          <w:sz w:val="24"/>
          <w:szCs w:val="24"/>
        </w:rPr>
        <w:t>L’anonymisation des renseignements personnels ne devrait se faire que si l’organisation souhaite les conserver et les utiliser à des fins sérieuses et légitimes.</w:t>
      </w:r>
    </w:p>
    <w:p w14:paraId="70CC92FB" w14:textId="77777777" w:rsidR="002C48CD" w:rsidRDefault="002C48CD" w:rsidP="002C48CD">
      <w:pPr>
        <w:jc w:val="both"/>
        <w:rPr>
          <w:sz w:val="24"/>
          <w:szCs w:val="24"/>
        </w:rPr>
      </w:pPr>
      <w:r w:rsidRPr="20C49FA5">
        <w:rPr>
          <w:sz w:val="24"/>
          <w:szCs w:val="24"/>
        </w:rPr>
        <w:t>La méthode d’anonymisation des renseignements personnels choisi</w:t>
      </w:r>
      <w:r w:rsidR="00AA60AE">
        <w:rPr>
          <w:sz w:val="24"/>
          <w:szCs w:val="24"/>
        </w:rPr>
        <w:t>e</w:t>
      </w:r>
      <w:r w:rsidRPr="20C49FA5">
        <w:rPr>
          <w:sz w:val="24"/>
          <w:szCs w:val="24"/>
        </w:rPr>
        <w:t xml:space="preserve"> est la suivante : </w:t>
      </w:r>
      <w:r w:rsidRPr="20C49FA5">
        <w:rPr>
          <w:i/>
          <w:iCs/>
          <w:sz w:val="24"/>
          <w:szCs w:val="24"/>
          <w:highlight w:val="yellow"/>
        </w:rPr>
        <w:t>compléter</w:t>
      </w:r>
      <w:r w:rsidRPr="20C49FA5">
        <w:rPr>
          <w:sz w:val="24"/>
          <w:szCs w:val="24"/>
        </w:rPr>
        <w:t>.</w:t>
      </w:r>
    </w:p>
    <w:p w14:paraId="732F9613" w14:textId="77777777" w:rsidR="002C48CD" w:rsidRDefault="002C48CD" w:rsidP="002C48CD">
      <w:pPr>
        <w:jc w:val="both"/>
        <w:rPr>
          <w:sz w:val="24"/>
          <w:szCs w:val="24"/>
        </w:rPr>
      </w:pPr>
      <w:r w:rsidRPr="20C49FA5">
        <w:rPr>
          <w:sz w:val="24"/>
          <w:szCs w:val="24"/>
        </w:rPr>
        <w:t xml:space="preserve">Il </w:t>
      </w:r>
      <w:r w:rsidR="00573C6D">
        <w:rPr>
          <w:sz w:val="24"/>
          <w:szCs w:val="24"/>
        </w:rPr>
        <w:t>faut</w:t>
      </w:r>
      <w:r w:rsidRPr="20C49FA5">
        <w:rPr>
          <w:sz w:val="24"/>
          <w:szCs w:val="24"/>
        </w:rPr>
        <w:t xml:space="preserve"> s’assurer que l’information restante ne </w:t>
      </w:r>
      <w:r w:rsidR="00573C6D">
        <w:rPr>
          <w:sz w:val="24"/>
          <w:szCs w:val="24"/>
        </w:rPr>
        <w:t>permett</w:t>
      </w:r>
      <w:r w:rsidRPr="20C49FA5">
        <w:rPr>
          <w:sz w:val="24"/>
          <w:szCs w:val="24"/>
        </w:rPr>
        <w:t>e plus de façon irréversible l'identification directe ou indirecte des individus concernés et s’assurer d’évaluer régulièrement le risque de réidentification des données anonymisées en effectuant des tests et des analyses pour garantir leur efficacité.</w:t>
      </w:r>
    </w:p>
    <w:p w14:paraId="452683F0" w14:textId="77777777" w:rsidR="002C48CD" w:rsidRDefault="002C48CD" w:rsidP="002C48CD">
      <w:pPr>
        <w:jc w:val="both"/>
        <w:rPr>
          <w:i/>
          <w:iCs/>
          <w:sz w:val="24"/>
          <w:szCs w:val="24"/>
        </w:rPr>
      </w:pPr>
    </w:p>
    <w:p w14:paraId="71A05990" w14:textId="77777777" w:rsidR="002C48CD" w:rsidRPr="00840C78" w:rsidRDefault="002C48CD" w:rsidP="002C48CD">
      <w:pPr>
        <w:rPr>
          <w:b/>
          <w:bCs/>
          <w:i/>
          <w:iCs/>
          <w:sz w:val="24"/>
          <w:szCs w:val="24"/>
        </w:rPr>
      </w:pPr>
      <w:r w:rsidRPr="00840C78">
        <w:rPr>
          <w:b/>
          <w:bCs/>
          <w:i/>
          <w:iCs/>
          <w:sz w:val="24"/>
          <w:szCs w:val="24"/>
        </w:rPr>
        <w:t>Formation et sensibilisation du personnel</w:t>
      </w:r>
    </w:p>
    <w:p w14:paraId="2F98DF2D" w14:textId="77777777" w:rsidR="002C48CD" w:rsidRDefault="002C48CD" w:rsidP="002C48CD">
      <w:pPr>
        <w:rPr>
          <w:sz w:val="24"/>
          <w:szCs w:val="24"/>
        </w:rPr>
      </w:pPr>
      <w:r w:rsidRPr="00840C78">
        <w:rPr>
          <w:sz w:val="24"/>
          <w:szCs w:val="24"/>
        </w:rPr>
        <w:t>Il faudra s’assurer de fournir une formation régulière aux employés sur la procédure de conservation, de destruction et d'anonymisation des renseignements personnels, ainsi que sur les risques liés à la violation de la vie privée.</w:t>
      </w:r>
    </w:p>
    <w:p w14:paraId="16B6908D" w14:textId="77777777" w:rsidR="002C48CD" w:rsidRDefault="002C48CD" w:rsidP="002C48CD">
      <w:pPr>
        <w:rPr>
          <w:sz w:val="24"/>
          <w:szCs w:val="24"/>
        </w:rPr>
      </w:pPr>
      <w:r w:rsidRPr="56290E48">
        <w:rPr>
          <w:sz w:val="24"/>
          <w:szCs w:val="24"/>
        </w:rPr>
        <w:t>Cela inclut également la sensibilisation du personnel aux bonnes pratiques de sécurité des données et à l'importance du respect des procédures établies.</w:t>
      </w:r>
    </w:p>
    <w:p w14:paraId="74D42479" w14:textId="77777777" w:rsidR="002C48CD" w:rsidRDefault="002C48CD" w:rsidP="002C48CD">
      <w:pPr>
        <w:rPr>
          <w:sz w:val="24"/>
          <w:szCs w:val="24"/>
          <w:highlight w:val="yellow"/>
        </w:rPr>
      </w:pPr>
    </w:p>
    <w:p w14:paraId="09881917" w14:textId="77777777" w:rsidR="002C48CD" w:rsidRDefault="002C48CD" w:rsidP="002C48CD">
      <w:pPr>
        <w:rPr>
          <w:sz w:val="24"/>
          <w:szCs w:val="24"/>
        </w:rPr>
      </w:pPr>
      <w:r w:rsidRPr="20C49FA5">
        <w:rPr>
          <w:sz w:val="24"/>
          <w:szCs w:val="24"/>
        </w:rPr>
        <w:t xml:space="preserve">Dernière mise à jour : </w:t>
      </w:r>
      <w:r w:rsidR="00AA60AE">
        <w:rPr>
          <w:sz w:val="24"/>
          <w:szCs w:val="24"/>
        </w:rPr>
        <w:t>septembre</w:t>
      </w:r>
      <w:r w:rsidRPr="20C49FA5">
        <w:rPr>
          <w:sz w:val="24"/>
          <w:szCs w:val="24"/>
        </w:rPr>
        <w:t xml:space="preserve"> 2023</w:t>
      </w:r>
    </w:p>
    <w:p w14:paraId="453746D2" w14:textId="77777777" w:rsidR="0043053A" w:rsidRDefault="0043053A"/>
    <w:sectPr w:rsidR="0043053A">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D2A68D" w14:textId="77777777" w:rsidR="00F200E9" w:rsidRDefault="00F200E9" w:rsidP="00AA60AE">
      <w:pPr>
        <w:spacing w:after="0" w:line="240" w:lineRule="auto"/>
      </w:pPr>
      <w:r>
        <w:separator/>
      </w:r>
    </w:p>
  </w:endnote>
  <w:endnote w:type="continuationSeparator" w:id="0">
    <w:p w14:paraId="7B68ACD9" w14:textId="77777777" w:rsidR="00F200E9" w:rsidRDefault="00F200E9" w:rsidP="00AA6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0CA936" w14:textId="77777777" w:rsidR="007B1A85" w:rsidRDefault="007B1A8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28997177"/>
      <w:docPartObj>
        <w:docPartGallery w:val="Page Numbers (Bottom of Page)"/>
        <w:docPartUnique/>
      </w:docPartObj>
    </w:sdtPr>
    <w:sdtContent>
      <w:p w14:paraId="7EB774E2" w14:textId="77777777" w:rsidR="007B1A85" w:rsidRDefault="007B1A85">
        <w:pPr>
          <w:pStyle w:val="Pieddepage"/>
          <w:jc w:val="right"/>
        </w:pPr>
        <w:r>
          <w:fldChar w:fldCharType="begin"/>
        </w:r>
        <w:r>
          <w:instrText>PAGE   \* MERGEFORMAT</w:instrText>
        </w:r>
        <w:r>
          <w:fldChar w:fldCharType="separate"/>
        </w:r>
        <w:r w:rsidRPr="007B1A85">
          <w:rPr>
            <w:noProof/>
            <w:lang w:val="fr-FR"/>
          </w:rPr>
          <w:t>1</w:t>
        </w:r>
        <w:r>
          <w:fldChar w:fldCharType="end"/>
        </w:r>
      </w:p>
    </w:sdtContent>
  </w:sdt>
  <w:p w14:paraId="5F0BFC02" w14:textId="77777777" w:rsidR="007B1A85" w:rsidRDefault="007B1A85">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553796" w14:textId="77777777" w:rsidR="007B1A85" w:rsidRDefault="007B1A8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33F7F6" w14:textId="77777777" w:rsidR="00F200E9" w:rsidRDefault="00F200E9" w:rsidP="00AA60AE">
      <w:pPr>
        <w:spacing w:after="0" w:line="240" w:lineRule="auto"/>
      </w:pPr>
      <w:r>
        <w:separator/>
      </w:r>
    </w:p>
  </w:footnote>
  <w:footnote w:type="continuationSeparator" w:id="0">
    <w:p w14:paraId="5C631E63" w14:textId="77777777" w:rsidR="00F200E9" w:rsidRDefault="00F200E9" w:rsidP="00AA60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637D0C" w14:textId="77777777" w:rsidR="007B1A85" w:rsidRDefault="007B1A8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52A6B4" w14:textId="77777777" w:rsidR="007B1A85" w:rsidRDefault="007B1A8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10132B" w14:textId="77777777" w:rsidR="007B1A85" w:rsidRDefault="007B1A8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B0A79"/>
    <w:multiLevelType w:val="hybridMultilevel"/>
    <w:tmpl w:val="F6466ADE"/>
    <w:lvl w:ilvl="0" w:tplc="10090001">
      <w:start w:val="1"/>
      <w:numFmt w:val="bullet"/>
      <w:lvlText w:val=""/>
      <w:lvlJc w:val="left"/>
      <w:pPr>
        <w:ind w:left="780" w:hanging="360"/>
      </w:pPr>
      <w:rPr>
        <w:rFonts w:ascii="Symbol" w:hAnsi="Symbol" w:hint="default"/>
      </w:rPr>
    </w:lvl>
    <w:lvl w:ilvl="1" w:tplc="10090003">
      <w:start w:val="1"/>
      <w:numFmt w:val="bullet"/>
      <w:lvlText w:val="o"/>
      <w:lvlJc w:val="left"/>
      <w:pPr>
        <w:ind w:left="1500" w:hanging="360"/>
      </w:pPr>
      <w:rPr>
        <w:rFonts w:ascii="Courier New" w:hAnsi="Courier New" w:cs="Courier New" w:hint="default"/>
      </w:rPr>
    </w:lvl>
    <w:lvl w:ilvl="2" w:tplc="10090005" w:tentative="1">
      <w:start w:val="1"/>
      <w:numFmt w:val="bullet"/>
      <w:lvlText w:val=""/>
      <w:lvlJc w:val="left"/>
      <w:pPr>
        <w:ind w:left="2220" w:hanging="360"/>
      </w:pPr>
      <w:rPr>
        <w:rFonts w:ascii="Wingdings" w:hAnsi="Wingdings" w:hint="default"/>
      </w:rPr>
    </w:lvl>
    <w:lvl w:ilvl="3" w:tplc="10090001" w:tentative="1">
      <w:start w:val="1"/>
      <w:numFmt w:val="bullet"/>
      <w:lvlText w:val=""/>
      <w:lvlJc w:val="left"/>
      <w:pPr>
        <w:ind w:left="2940" w:hanging="360"/>
      </w:pPr>
      <w:rPr>
        <w:rFonts w:ascii="Symbol" w:hAnsi="Symbol" w:hint="default"/>
      </w:rPr>
    </w:lvl>
    <w:lvl w:ilvl="4" w:tplc="10090003" w:tentative="1">
      <w:start w:val="1"/>
      <w:numFmt w:val="bullet"/>
      <w:lvlText w:val="o"/>
      <w:lvlJc w:val="left"/>
      <w:pPr>
        <w:ind w:left="3660" w:hanging="360"/>
      </w:pPr>
      <w:rPr>
        <w:rFonts w:ascii="Courier New" w:hAnsi="Courier New" w:cs="Courier New" w:hint="default"/>
      </w:rPr>
    </w:lvl>
    <w:lvl w:ilvl="5" w:tplc="10090005" w:tentative="1">
      <w:start w:val="1"/>
      <w:numFmt w:val="bullet"/>
      <w:lvlText w:val=""/>
      <w:lvlJc w:val="left"/>
      <w:pPr>
        <w:ind w:left="4380" w:hanging="360"/>
      </w:pPr>
      <w:rPr>
        <w:rFonts w:ascii="Wingdings" w:hAnsi="Wingdings" w:hint="default"/>
      </w:rPr>
    </w:lvl>
    <w:lvl w:ilvl="6" w:tplc="10090001" w:tentative="1">
      <w:start w:val="1"/>
      <w:numFmt w:val="bullet"/>
      <w:lvlText w:val=""/>
      <w:lvlJc w:val="left"/>
      <w:pPr>
        <w:ind w:left="5100" w:hanging="360"/>
      </w:pPr>
      <w:rPr>
        <w:rFonts w:ascii="Symbol" w:hAnsi="Symbol" w:hint="default"/>
      </w:rPr>
    </w:lvl>
    <w:lvl w:ilvl="7" w:tplc="10090003" w:tentative="1">
      <w:start w:val="1"/>
      <w:numFmt w:val="bullet"/>
      <w:lvlText w:val="o"/>
      <w:lvlJc w:val="left"/>
      <w:pPr>
        <w:ind w:left="5820" w:hanging="360"/>
      </w:pPr>
      <w:rPr>
        <w:rFonts w:ascii="Courier New" w:hAnsi="Courier New" w:cs="Courier New" w:hint="default"/>
      </w:rPr>
    </w:lvl>
    <w:lvl w:ilvl="8" w:tplc="10090005" w:tentative="1">
      <w:start w:val="1"/>
      <w:numFmt w:val="bullet"/>
      <w:lvlText w:val=""/>
      <w:lvlJc w:val="left"/>
      <w:pPr>
        <w:ind w:left="6540" w:hanging="360"/>
      </w:pPr>
      <w:rPr>
        <w:rFonts w:ascii="Wingdings" w:hAnsi="Wingdings" w:hint="default"/>
      </w:rPr>
    </w:lvl>
  </w:abstractNum>
  <w:num w:numId="1" w16cid:durableId="10482155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8CD"/>
    <w:rsid w:val="002C48CD"/>
    <w:rsid w:val="0043053A"/>
    <w:rsid w:val="005542C1"/>
    <w:rsid w:val="00573C6D"/>
    <w:rsid w:val="007B1A85"/>
    <w:rsid w:val="00875FEC"/>
    <w:rsid w:val="00975F69"/>
    <w:rsid w:val="00AA60AE"/>
    <w:rsid w:val="00C9222A"/>
    <w:rsid w:val="00CF572A"/>
    <w:rsid w:val="00D53BEC"/>
    <w:rsid w:val="00F200E9"/>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C4D75"/>
  <w15:chartTrackingRefBased/>
  <w15:docId w15:val="{5E6D19D1-380F-493F-B898-0A4F399F9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48C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C48CD"/>
    <w:pPr>
      <w:ind w:left="720"/>
      <w:contextualSpacing/>
    </w:pPr>
  </w:style>
  <w:style w:type="character" w:styleId="Lienhypertexte">
    <w:name w:val="Hyperlink"/>
    <w:basedOn w:val="Policepardfaut"/>
    <w:uiPriority w:val="99"/>
    <w:unhideWhenUsed/>
    <w:rsid w:val="002C48CD"/>
    <w:rPr>
      <w:color w:val="0563C1" w:themeColor="hyperlink"/>
      <w:u w:val="single"/>
    </w:rPr>
  </w:style>
  <w:style w:type="character" w:styleId="Lienhypertextesuivivisit">
    <w:name w:val="FollowedHyperlink"/>
    <w:basedOn w:val="Policepardfaut"/>
    <w:uiPriority w:val="99"/>
    <w:semiHidden/>
    <w:unhideWhenUsed/>
    <w:rsid w:val="002C48CD"/>
    <w:rPr>
      <w:color w:val="954F72" w:themeColor="followedHyperlink"/>
      <w:u w:val="single"/>
    </w:rPr>
  </w:style>
  <w:style w:type="paragraph" w:styleId="En-tte">
    <w:name w:val="header"/>
    <w:basedOn w:val="Normal"/>
    <w:link w:val="En-tteCar"/>
    <w:uiPriority w:val="99"/>
    <w:unhideWhenUsed/>
    <w:rsid w:val="00AA60AE"/>
    <w:pPr>
      <w:tabs>
        <w:tab w:val="center" w:pos="4320"/>
        <w:tab w:val="right" w:pos="8640"/>
      </w:tabs>
      <w:spacing w:after="0" w:line="240" w:lineRule="auto"/>
    </w:pPr>
  </w:style>
  <w:style w:type="character" w:customStyle="1" w:styleId="En-tteCar">
    <w:name w:val="En-tête Car"/>
    <w:basedOn w:val="Policepardfaut"/>
    <w:link w:val="En-tte"/>
    <w:uiPriority w:val="99"/>
    <w:rsid w:val="00AA60AE"/>
  </w:style>
  <w:style w:type="paragraph" w:styleId="Pieddepage">
    <w:name w:val="footer"/>
    <w:basedOn w:val="Normal"/>
    <w:link w:val="PieddepageCar"/>
    <w:uiPriority w:val="99"/>
    <w:unhideWhenUsed/>
    <w:rsid w:val="00AA60AE"/>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AA60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cai.gouv.qc.ca/entreprises/"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459</Words>
  <Characters>2530</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dc:creator>
  <cp:keywords/>
  <dc:description/>
  <cp:lastModifiedBy>Patrice Blain</cp:lastModifiedBy>
  <cp:revision>6</cp:revision>
  <dcterms:created xsi:type="dcterms:W3CDTF">2023-09-21T20:34:00Z</dcterms:created>
  <dcterms:modified xsi:type="dcterms:W3CDTF">2024-06-18T14:50:00Z</dcterms:modified>
</cp:coreProperties>
</file>